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b/>
          <w:color w:val="CC2B1C"/>
          <w:sz w:val="18"/>
        </w:rPr>
        <w:t>Free resource</w:t>
      </w:r>
    </w:p>
    <w:p>
      <w:pPr>
        <w:spacing w:before="0" w:after="80" w:line="240" w:lineRule="auto"/>
      </w:pPr>
      <w:r>
        <w:rPr>
          <w:b/>
          <w:color w:val="0B0B14"/>
          <w:sz w:val="44"/>
        </w:rPr>
        <w:t>A Probus club treasurer's year</w:t>
      </w:r>
    </w:p>
    <w:p>
      <w:pPr>
        <w:spacing w:before="0" w:after="200" w:line="276" w:lineRule="auto"/>
      </w:pPr>
      <w:r>
        <w:rPr>
          <w:rFonts w:ascii="Arial" w:hAnsi="Arial"/>
          <w:b w:val="0"/>
          <w:i w:val="0"/>
          <w:color w:val="4A4A5A"/>
          <w:sz w:val="22"/>
        </w:rPr>
        <w:t>The Probus treasurer's year month by month: the budget and subs, the AGM, capitation and annual returns to Probus South Pacific by 30 April, and the monthly routine.</w:t>
      </w:r>
    </w:p>
    <w:p>
      <w:pPr>
        <w:spacing w:before="0" w:after="120" w:line="276" w:lineRule="auto"/>
      </w:pPr>
      <w:r>
        <w:rPr>
          <w:rFonts w:ascii="Arial" w:hAnsi="Arial"/>
          <w:b w:val="0"/>
          <w:i w:val="0"/>
          <w:color w:val="0B0B14"/>
          <w:sz w:val="21"/>
        </w:rPr>
        <w:t>The Probus year runs from 1 April to 31 March. Each club pays Probus South Pacific a capitation fee for its members by 30 April, through its annual returns. Everything below comes from the Probus Club Handbook 2026 to 27, with the page number, unless it is marked as our suggestion.</w:t>
      </w:r>
    </w:p>
    <w:p>
      <w:pPr>
        <w:keepNext/>
        <w:spacing w:before="240" w:after="80" w:line="276" w:lineRule="auto"/>
      </w:pPr>
      <w:r>
        <w:rPr>
          <w:rFonts w:ascii="Arial" w:hAnsi="Arial"/>
          <w:b/>
          <w:i w:val="0"/>
          <w:color w:val="0B0B14"/>
          <w:sz w:val="28"/>
        </w:rPr>
        <w:t>The year at a glance</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F5F5F8"/>
          </w:tcPr>
          <w:p>
            <w:r>
              <w:rPr>
                <w:rFonts w:ascii="Arial" w:hAnsi="Arial"/>
                <w:b/>
                <w:i w:val="0"/>
                <w:color w:val="0B0B14"/>
                <w:sz w:val="18"/>
              </w:rPr>
              <w:t>When</w:t>
            </w:r>
          </w:p>
        </w:tc>
        <w:tc>
          <w:tcPr>
            <w:tcW w:type="dxa" w:w="3312"/>
            <w:shd w:val="clear" w:color="auto" w:fill="F5F5F8"/>
          </w:tcPr>
          <w:p>
            <w:r>
              <w:rPr>
                <w:rFonts w:ascii="Arial" w:hAnsi="Arial"/>
                <w:b/>
                <w:i w:val="0"/>
                <w:color w:val="0B0B14"/>
                <w:sz w:val="18"/>
              </w:rPr>
              <w:t>What the treasurer does</w:t>
            </w:r>
          </w:p>
        </w:tc>
        <w:tc>
          <w:tcPr>
            <w:tcW w:type="dxa" w:w="3312"/>
            <w:shd w:val="clear" w:color="auto" w:fill="F5F5F8"/>
          </w:tcPr>
          <w:p>
            <w:r>
              <w:rPr>
                <w:rFonts w:ascii="Arial" w:hAnsi="Arial"/>
                <w:b/>
                <w:i w:val="0"/>
                <w:color w:val="0B0B14"/>
                <w:sz w:val="18"/>
              </w:rPr>
              <w:t>Handbook</w:t>
            </w:r>
          </w:p>
        </w:tc>
      </w:tr>
      <w:tr>
        <w:tc>
          <w:tcPr>
            <w:tcW w:type="dxa" w:w="3312"/>
          </w:tcPr>
          <w:p>
            <w:r>
              <w:rPr>
                <w:rFonts w:ascii="Arial" w:hAnsi="Arial"/>
                <w:b w:val="0"/>
                <w:i w:val="0"/>
                <w:color w:val="4A4A5A"/>
                <w:sz w:val="19"/>
              </w:rPr>
              <w:t>Each year</w:t>
            </w:r>
          </w:p>
        </w:tc>
        <w:tc>
          <w:tcPr>
            <w:tcW w:type="dxa" w:w="3312"/>
          </w:tcPr>
          <w:p>
            <w:r>
              <w:rPr>
                <w:rFonts w:ascii="Arial" w:hAnsi="Arial"/>
                <w:b w:val="0"/>
                <w:i w:val="0"/>
                <w:color w:val="4A4A5A"/>
                <w:sz w:val="19"/>
              </w:rPr>
              <w:t>Prepare a budget for the year and recommend the club's annual subscription to the committee</w:t>
            </w:r>
          </w:p>
        </w:tc>
        <w:tc>
          <w:tcPr>
            <w:tcW w:type="dxa" w:w="3312"/>
          </w:tcPr>
          <w:p>
            <w:r>
              <w:rPr>
                <w:rFonts w:ascii="Arial" w:hAnsi="Arial"/>
                <w:b w:val="0"/>
                <w:i w:val="0"/>
                <w:color w:val="4A4A5A"/>
                <w:sz w:val="19"/>
              </w:rPr>
              <w:t>p. 43</w:t>
            </w:r>
          </w:p>
        </w:tc>
      </w:tr>
      <w:tr>
        <w:tc>
          <w:tcPr>
            <w:tcW w:type="dxa" w:w="3312"/>
          </w:tcPr>
          <w:p>
            <w:r>
              <w:rPr>
                <w:rFonts w:ascii="Arial" w:hAnsi="Arial"/>
                <w:b w:val="0"/>
                <w:i w:val="0"/>
                <w:color w:val="4A4A5A"/>
                <w:sz w:val="19"/>
              </w:rPr>
              <w:t>Before subs are due</w:t>
            </w:r>
          </w:p>
        </w:tc>
        <w:tc>
          <w:tcPr>
            <w:tcW w:type="dxa" w:w="3312"/>
          </w:tcPr>
          <w:p>
            <w:r>
              <w:rPr>
                <w:rFonts w:ascii="Arial" w:hAnsi="Arial"/>
                <w:b w:val="0"/>
                <w:i w:val="0"/>
                <w:color w:val="4A4A5A"/>
                <w:sz w:val="19"/>
              </w:rPr>
              <w:t>Our suggestion: send the subs notice a month before they are due, with the club's BSB, account number and a reference for each member</w:t>
            </w:r>
          </w:p>
        </w:tc>
        <w:tc>
          <w:tcPr>
            <w:tcW w:type="dxa" w:w="3312"/>
          </w:tcPr>
          <w:p/>
        </w:tc>
      </w:tr>
      <w:tr>
        <w:tc>
          <w:tcPr>
            <w:tcW w:type="dxa" w:w="3312"/>
          </w:tcPr>
          <w:p>
            <w:r>
              <w:rPr>
                <w:rFonts w:ascii="Arial" w:hAnsi="Arial"/>
                <w:b w:val="0"/>
                <w:i w:val="0"/>
                <w:color w:val="4A4A5A"/>
                <w:sz w:val="19"/>
              </w:rPr>
              <w:t>1 April</w:t>
            </w:r>
          </w:p>
        </w:tc>
        <w:tc>
          <w:tcPr>
            <w:tcW w:type="dxa" w:w="3312"/>
          </w:tcPr>
          <w:p>
            <w:r>
              <w:rPr>
                <w:rFonts w:ascii="Arial" w:hAnsi="Arial"/>
                <w:b w:val="0"/>
                <w:i w:val="0"/>
                <w:color w:val="4A4A5A"/>
                <w:sz w:val="19"/>
              </w:rPr>
              <w:t>The Probus year begins</w:t>
            </w:r>
          </w:p>
        </w:tc>
        <w:tc>
          <w:tcPr>
            <w:tcW w:type="dxa" w:w="3312"/>
          </w:tcPr>
          <w:p>
            <w:r>
              <w:rPr>
                <w:rFonts w:ascii="Arial" w:hAnsi="Arial"/>
                <w:b w:val="0"/>
                <w:i w:val="0"/>
                <w:color w:val="4A4A5A"/>
                <w:sz w:val="19"/>
              </w:rPr>
              <w:t>p. 10</w:t>
            </w:r>
          </w:p>
        </w:tc>
      </w:tr>
      <w:tr>
        <w:tc>
          <w:tcPr>
            <w:tcW w:type="dxa" w:w="3312"/>
          </w:tcPr>
          <w:p>
            <w:r>
              <w:rPr>
                <w:rFonts w:ascii="Arial" w:hAnsi="Arial"/>
                <w:b w:val="0"/>
                <w:i w:val="0"/>
                <w:color w:val="4A4A5A"/>
                <w:sz w:val="19"/>
              </w:rPr>
              <w:t>At the AGM</w:t>
            </w:r>
          </w:p>
        </w:tc>
        <w:tc>
          <w:tcPr>
            <w:tcW w:type="dxa" w:w="3312"/>
          </w:tcPr>
          <w:p>
            <w:r>
              <w:rPr>
                <w:rFonts w:ascii="Arial" w:hAnsi="Arial"/>
                <w:b w:val="0"/>
                <w:i w:val="0"/>
                <w:color w:val="4A4A5A"/>
                <w:sz w:val="19"/>
              </w:rPr>
              <w:t>Present the financial report</w:t>
            </w:r>
          </w:p>
        </w:tc>
        <w:tc>
          <w:tcPr>
            <w:tcW w:type="dxa" w:w="3312"/>
          </w:tcPr>
          <w:p>
            <w:r>
              <w:rPr>
                <w:rFonts w:ascii="Arial" w:hAnsi="Arial"/>
                <w:b w:val="0"/>
                <w:i w:val="0"/>
                <w:color w:val="4A4A5A"/>
                <w:sz w:val="19"/>
              </w:rPr>
              <w:t>p. 43</w:t>
            </w:r>
          </w:p>
        </w:tc>
      </w:tr>
      <w:tr>
        <w:tc>
          <w:tcPr>
            <w:tcW w:type="dxa" w:w="3312"/>
          </w:tcPr>
          <w:p>
            <w:r>
              <w:rPr>
                <w:rFonts w:ascii="Arial" w:hAnsi="Arial"/>
                <w:b w:val="0"/>
                <w:i w:val="0"/>
                <w:color w:val="4A4A5A"/>
                <w:sz w:val="19"/>
              </w:rPr>
              <w:t>At the AGM</w:t>
            </w:r>
          </w:p>
        </w:tc>
        <w:tc>
          <w:tcPr>
            <w:tcW w:type="dxa" w:w="3312"/>
          </w:tcPr>
          <w:p>
            <w:r>
              <w:rPr>
                <w:rFonts w:ascii="Arial" w:hAnsi="Arial"/>
                <w:b w:val="0"/>
                <w:i w:val="0"/>
                <w:color w:val="4A4A5A"/>
                <w:sz w:val="19"/>
              </w:rPr>
              <w:t>Note the membership on the day: capitation is based on the club's membership at its AGM date</w:t>
            </w:r>
          </w:p>
        </w:tc>
        <w:tc>
          <w:tcPr>
            <w:tcW w:type="dxa" w:w="3312"/>
          </w:tcPr>
          <w:p>
            <w:r>
              <w:rPr>
                <w:rFonts w:ascii="Arial" w:hAnsi="Arial"/>
                <w:b w:val="0"/>
                <w:i w:val="0"/>
                <w:color w:val="4A4A5A"/>
                <w:sz w:val="19"/>
              </w:rPr>
              <w:t>p. 10</w:t>
            </w:r>
          </w:p>
        </w:tc>
      </w:tr>
      <w:tr>
        <w:tc>
          <w:tcPr>
            <w:tcW w:type="dxa" w:w="3312"/>
          </w:tcPr>
          <w:p>
            <w:r>
              <w:rPr>
                <w:rFonts w:ascii="Arial" w:hAnsi="Arial"/>
                <w:b w:val="0"/>
                <w:i w:val="0"/>
                <w:color w:val="4A4A5A"/>
                <w:sz w:val="19"/>
              </w:rPr>
              <w:t>After the AGM</w:t>
            </w:r>
          </w:p>
        </w:tc>
        <w:tc>
          <w:tcPr>
            <w:tcW w:type="dxa" w:w="3312"/>
          </w:tcPr>
          <w:p>
            <w:r>
              <w:rPr>
                <w:rFonts w:ascii="Arial" w:hAnsi="Arial"/>
                <w:b w:val="0"/>
                <w:i w:val="0"/>
                <w:color w:val="4A4A5A"/>
                <w:sz w:val="19"/>
              </w:rPr>
              <w:t>Update the bank signatories. The AGM usually changes them</w:t>
            </w:r>
          </w:p>
        </w:tc>
        <w:tc>
          <w:tcPr>
            <w:tcW w:type="dxa" w:w="3312"/>
          </w:tcPr>
          <w:p>
            <w:r>
              <w:rPr>
                <w:rFonts w:ascii="Arial" w:hAnsi="Arial"/>
                <w:b w:val="0"/>
                <w:i w:val="0"/>
                <w:color w:val="4A4A5A"/>
                <w:sz w:val="19"/>
              </w:rPr>
              <w:t>pp. 43, 51</w:t>
            </w:r>
          </w:p>
        </w:tc>
      </w:tr>
      <w:tr>
        <w:tc>
          <w:tcPr>
            <w:tcW w:type="dxa" w:w="3312"/>
          </w:tcPr>
          <w:p>
            <w:r>
              <w:rPr>
                <w:rFonts w:ascii="Arial" w:hAnsi="Arial"/>
                <w:b w:val="0"/>
                <w:i w:val="0"/>
                <w:color w:val="4A4A5A"/>
                <w:sz w:val="19"/>
              </w:rPr>
              <w:t>By 30 April</w:t>
            </w:r>
          </w:p>
        </w:tc>
        <w:tc>
          <w:tcPr>
            <w:tcW w:type="dxa" w:w="3312"/>
          </w:tcPr>
          <w:p>
            <w:r>
              <w:rPr>
                <w:rFonts w:ascii="Arial" w:hAnsi="Arial"/>
                <w:b w:val="0"/>
                <w:i w:val="0"/>
                <w:color w:val="4A4A5A"/>
                <w:sz w:val="19"/>
              </w:rPr>
              <w:t>Lodge the annual returns and pay the capitation fee, through the Capitation Form in the annual returns, which can be sent online through Online Update</w:t>
            </w:r>
          </w:p>
        </w:tc>
        <w:tc>
          <w:tcPr>
            <w:tcW w:type="dxa" w:w="3312"/>
          </w:tcPr>
          <w:p>
            <w:r>
              <w:rPr>
                <w:rFonts w:ascii="Arial" w:hAnsi="Arial"/>
                <w:b w:val="0"/>
                <w:i w:val="0"/>
                <w:color w:val="4A4A5A"/>
                <w:sz w:val="19"/>
              </w:rPr>
              <w:t>pp. 10, 11, 43</w:t>
            </w:r>
          </w:p>
        </w:tc>
      </w:tr>
      <w:tr>
        <w:tc>
          <w:tcPr>
            <w:tcW w:type="dxa" w:w="3312"/>
          </w:tcPr>
          <w:p>
            <w:r>
              <w:rPr>
                <w:rFonts w:ascii="Arial" w:hAnsi="Arial"/>
                <w:b w:val="0"/>
                <w:i w:val="0"/>
                <w:color w:val="4A4A5A"/>
                <w:sz w:val="19"/>
              </w:rPr>
              <w:t>Every month</w:t>
            </w:r>
          </w:p>
        </w:tc>
        <w:tc>
          <w:tcPr>
            <w:tcW w:type="dxa" w:w="3312"/>
          </w:tcPr>
          <w:p>
            <w:r>
              <w:rPr>
                <w:rFonts w:ascii="Arial" w:hAnsi="Arial"/>
                <w:b w:val="0"/>
                <w:i w:val="0"/>
                <w:color w:val="4A4A5A"/>
                <w:sz w:val="19"/>
              </w:rPr>
              <w:t>Reconcile the bank accounts and report to the committee</w:t>
            </w:r>
          </w:p>
        </w:tc>
        <w:tc>
          <w:tcPr>
            <w:tcW w:type="dxa" w:w="3312"/>
          </w:tcPr>
          <w:p>
            <w:r>
              <w:rPr>
                <w:rFonts w:ascii="Arial" w:hAnsi="Arial"/>
                <w:b w:val="0"/>
                <w:i w:val="0"/>
                <w:color w:val="4A4A5A"/>
                <w:sz w:val="19"/>
              </w:rPr>
              <w:t>p. 43</w:t>
            </w:r>
          </w:p>
        </w:tc>
      </w:tr>
      <w:tr>
        <w:tc>
          <w:tcPr>
            <w:tcW w:type="dxa" w:w="3312"/>
          </w:tcPr>
          <w:p>
            <w:r>
              <w:rPr>
                <w:rFonts w:ascii="Arial" w:hAnsi="Arial"/>
                <w:b w:val="0"/>
                <w:i w:val="0"/>
                <w:color w:val="4A4A5A"/>
                <w:sz w:val="19"/>
              </w:rPr>
              <w:t>All year</w:t>
            </w:r>
          </w:p>
        </w:tc>
        <w:tc>
          <w:tcPr>
            <w:tcW w:type="dxa" w:w="3312"/>
          </w:tcPr>
          <w:p>
            <w:r>
              <w:rPr>
                <w:rFonts w:ascii="Arial" w:hAnsi="Arial"/>
                <w:b w:val="0"/>
                <w:i w:val="0"/>
                <w:color w:val="4A4A5A"/>
                <w:sz w:val="19"/>
              </w:rPr>
              <w:t>Bank club money within two working days, as the insurance requires</w:t>
            </w:r>
          </w:p>
        </w:tc>
        <w:tc>
          <w:tcPr>
            <w:tcW w:type="dxa" w:w="3312"/>
          </w:tcPr>
          <w:p>
            <w:r>
              <w:rPr>
                <w:rFonts w:ascii="Arial" w:hAnsi="Arial"/>
                <w:b w:val="0"/>
                <w:i w:val="0"/>
                <w:color w:val="4A4A5A"/>
                <w:sz w:val="19"/>
              </w:rPr>
              <w:t>p. 43</w:t>
            </w:r>
          </w:p>
        </w:tc>
      </w:tr>
      <w:tr>
        <w:tc>
          <w:tcPr>
            <w:tcW w:type="dxa" w:w="3312"/>
          </w:tcPr>
          <w:p>
            <w:r>
              <w:rPr>
                <w:rFonts w:ascii="Arial" w:hAnsi="Arial"/>
                <w:b w:val="0"/>
                <w:i w:val="0"/>
                <w:color w:val="4A4A5A"/>
                <w:sz w:val="19"/>
              </w:rPr>
              <w:t>All year</w:t>
            </w:r>
          </w:p>
        </w:tc>
        <w:tc>
          <w:tcPr>
            <w:tcW w:type="dxa" w:w="3312"/>
          </w:tcPr>
          <w:p>
            <w:r>
              <w:rPr>
                <w:rFonts w:ascii="Arial" w:hAnsi="Arial"/>
                <w:b w:val="0"/>
                <w:i w:val="0"/>
                <w:color w:val="4A4A5A"/>
                <w:sz w:val="19"/>
              </w:rPr>
              <w:t>Send member changes, such as new members and resignations, to Probus South Pacific through Online Update or by email</w:t>
            </w:r>
          </w:p>
        </w:tc>
        <w:tc>
          <w:tcPr>
            <w:tcW w:type="dxa" w:w="3312"/>
          </w:tcPr>
          <w:p>
            <w:r>
              <w:rPr>
                <w:rFonts w:ascii="Arial" w:hAnsi="Arial"/>
                <w:b w:val="0"/>
                <w:i w:val="0"/>
                <w:color w:val="4A4A5A"/>
                <w:sz w:val="19"/>
              </w:rPr>
              <w:t>p. 11</w:t>
            </w:r>
          </w:p>
        </w:tc>
      </w:tr>
      <w:tr>
        <w:tc>
          <w:tcPr>
            <w:tcW w:type="dxa" w:w="3312"/>
          </w:tcPr>
          <w:p>
            <w:r>
              <w:rPr>
                <w:rFonts w:ascii="Arial" w:hAnsi="Arial"/>
                <w:b w:val="0"/>
                <w:i w:val="0"/>
                <w:color w:val="4A4A5A"/>
                <w:sz w:val="19"/>
              </w:rPr>
              <w:t>Year end</w:t>
            </w:r>
          </w:p>
        </w:tc>
        <w:tc>
          <w:tcPr>
            <w:tcW w:type="dxa" w:w="3312"/>
          </w:tcPr>
          <w:p>
            <w:r>
              <w:rPr>
                <w:rFonts w:ascii="Arial" w:hAnsi="Arial"/>
                <w:b w:val="0"/>
                <w:i w:val="0"/>
                <w:color w:val="4A4A5A"/>
                <w:sz w:val="19"/>
              </w:rPr>
              <w:t>Have the records ready in time for certification, review or audit</w:t>
            </w:r>
          </w:p>
        </w:tc>
        <w:tc>
          <w:tcPr>
            <w:tcW w:type="dxa" w:w="3312"/>
          </w:tcPr>
          <w:p>
            <w:r>
              <w:rPr>
                <w:rFonts w:ascii="Arial" w:hAnsi="Arial"/>
                <w:b w:val="0"/>
                <w:i w:val="0"/>
                <w:color w:val="4A4A5A"/>
                <w:sz w:val="19"/>
              </w:rPr>
              <w:t>p. 43</w:t>
            </w:r>
          </w:p>
        </w:tc>
      </w:tr>
    </w:tbl>
    <w:p>
      <w:pPr>
        <w:spacing w:after="40"/>
      </w:pPr>
    </w:p>
    <w:p>
      <w:pPr>
        <w:keepNext/>
        <w:spacing w:before="240" w:after="80" w:line="276" w:lineRule="auto"/>
      </w:pPr>
      <w:r>
        <w:rPr>
          <w:rFonts w:ascii="Arial" w:hAnsi="Arial"/>
          <w:b/>
          <w:i w:val="0"/>
          <w:color w:val="0B0B14"/>
          <w:sz w:val="28"/>
        </w:rPr>
        <w:t>Capitation, in plain words</w:t>
      </w:r>
    </w:p>
    <w:p>
      <w:pPr>
        <w:spacing w:before="0" w:after="80" w:line="276" w:lineRule="auto"/>
        <w:ind w:left="432" w:hanging="317"/>
      </w:pPr>
      <w:r>
        <w:rPr>
          <w:color w:val="0B0B14"/>
          <w:sz w:val="21"/>
        </w:rPr>
        <w:t xml:space="preserve">•  </w:t>
      </w:r>
      <w:r>
        <w:rPr>
          <w:rFonts w:ascii="Arial" w:hAnsi="Arial"/>
          <w:b w:val="0"/>
          <w:i w:val="0"/>
          <w:color w:val="0B0B14"/>
          <w:sz w:val="21"/>
        </w:rPr>
        <w:t>Capitation is paid by the club on behalf of its members, and covers membership, administration, insurance and support services (p. 10).</w:t>
      </w:r>
    </w:p>
    <w:p>
      <w:pPr>
        <w:spacing w:before="0" w:after="80" w:line="276" w:lineRule="auto"/>
        <w:ind w:left="432" w:hanging="317"/>
      </w:pPr>
      <w:r>
        <w:rPr>
          <w:color w:val="0B0B14"/>
          <w:sz w:val="21"/>
        </w:rPr>
        <w:t xml:space="preserve">•  </w:t>
      </w:r>
      <w:r>
        <w:rPr>
          <w:rFonts w:ascii="Arial" w:hAnsi="Arial"/>
          <w:b w:val="0"/>
          <w:i w:val="0"/>
          <w:color w:val="0B0B14"/>
          <w:sz w:val="21"/>
        </w:rPr>
        <w:t>It is paid for every class of member except non active members and carers (pp. 10, 35, 36).</w:t>
      </w:r>
    </w:p>
    <w:p>
      <w:pPr>
        <w:spacing w:before="0" w:after="80" w:line="276" w:lineRule="auto"/>
        <w:ind w:left="432" w:hanging="317"/>
      </w:pPr>
      <w:r>
        <w:rPr>
          <w:color w:val="0B0B14"/>
          <w:sz w:val="21"/>
        </w:rPr>
        <w:t xml:space="preserve">•  </w:t>
      </w:r>
      <w:r>
        <w:rPr>
          <w:rFonts w:ascii="Arial" w:hAnsi="Arial"/>
          <w:b w:val="0"/>
          <w:i w:val="0"/>
          <w:color w:val="0B0B14"/>
          <w:sz w:val="21"/>
        </w:rPr>
        <w:t>The Probus South Pacific board sets the amount each year. The handbook does not give a figure, so check this year's amount with Probus South Pacific.</w:t>
      </w:r>
    </w:p>
    <w:p>
      <w:pPr>
        <w:spacing w:before="0" w:after="80" w:line="276" w:lineRule="auto"/>
        <w:ind w:left="432" w:hanging="317"/>
      </w:pPr>
      <w:r>
        <w:rPr>
          <w:color w:val="0B0B14"/>
          <w:sz w:val="21"/>
        </w:rPr>
        <w:t xml:space="preserve">•  </w:t>
      </w:r>
      <w:r>
        <w:rPr>
          <w:rFonts w:ascii="Arial" w:hAnsi="Arial"/>
          <w:b w:val="0"/>
          <w:i w:val="0"/>
          <w:color w:val="0B0B14"/>
          <w:sz w:val="21"/>
        </w:rPr>
        <w:t>The club's member numbers confirm how many members the national insurance programs cover (p. 11). A wrong count matters.</w:t>
      </w:r>
    </w:p>
    <w:p>
      <w:pPr>
        <w:keepNext/>
        <w:spacing w:before="240" w:after="80" w:line="276" w:lineRule="auto"/>
      </w:pPr>
      <w:r>
        <w:rPr>
          <w:rFonts w:ascii="Arial" w:hAnsi="Arial"/>
          <w:b/>
          <w:i w:val="0"/>
          <w:color w:val="0B0B14"/>
          <w:sz w:val="28"/>
        </w:rPr>
        <w:t>The treasurer's standing jobs</w:t>
      </w:r>
    </w:p>
    <w:p>
      <w:pPr>
        <w:spacing w:before="0" w:after="80" w:line="276" w:lineRule="auto"/>
        <w:ind w:left="432" w:hanging="317"/>
      </w:pPr>
      <w:r>
        <w:rPr>
          <w:color w:val="6E6E82"/>
          <w:sz w:val="22"/>
        </w:rPr>
        <w:t xml:space="preserve">☐  </w:t>
      </w:r>
      <w:r>
        <w:rPr>
          <w:rFonts w:ascii="Arial" w:hAnsi="Arial"/>
          <w:b w:val="0"/>
          <w:i w:val="0"/>
          <w:color w:val="0B0B14"/>
          <w:sz w:val="21"/>
        </w:rPr>
        <w:t>Keep clear and accurate financial records (p. 43).</w:t>
      </w:r>
    </w:p>
    <w:p>
      <w:pPr>
        <w:spacing w:before="0" w:after="80" w:line="276" w:lineRule="auto"/>
        <w:ind w:left="432" w:hanging="317"/>
      </w:pPr>
      <w:r>
        <w:rPr>
          <w:color w:val="6E6E82"/>
          <w:sz w:val="22"/>
        </w:rPr>
        <w:t xml:space="preserve">☐  </w:t>
      </w:r>
      <w:r>
        <w:rPr>
          <w:rFonts w:ascii="Arial" w:hAnsi="Arial"/>
          <w:b w:val="0"/>
          <w:i w:val="0"/>
          <w:color w:val="0B0B14"/>
          <w:sz w:val="21"/>
        </w:rPr>
        <w:t>Make sure every payment is approved or ratified by the management committee (p. 43).</w:t>
      </w:r>
    </w:p>
    <w:p>
      <w:pPr>
        <w:spacing w:before="0" w:after="80" w:line="276" w:lineRule="auto"/>
        <w:ind w:left="432" w:hanging="317"/>
      </w:pPr>
      <w:r>
        <w:rPr>
          <w:color w:val="6E6E82"/>
          <w:sz w:val="22"/>
        </w:rPr>
        <w:t xml:space="preserve">☐  </w:t>
      </w:r>
      <w:r>
        <w:rPr>
          <w:rFonts w:ascii="Arial" w:hAnsi="Arial"/>
          <w:b w:val="0"/>
          <w:i w:val="0"/>
          <w:color w:val="0B0B14"/>
          <w:sz w:val="21"/>
        </w:rPr>
        <w:t>Bank club money within two working days (p. 43).</w:t>
      </w:r>
    </w:p>
    <w:p>
      <w:pPr>
        <w:spacing w:before="0" w:after="80" w:line="276" w:lineRule="auto"/>
        <w:ind w:left="432" w:hanging="317"/>
      </w:pPr>
      <w:r>
        <w:rPr>
          <w:color w:val="6E6E82"/>
          <w:sz w:val="22"/>
        </w:rPr>
        <w:t xml:space="preserve">☐  </w:t>
      </w:r>
      <w:r>
        <w:rPr>
          <w:rFonts w:ascii="Arial" w:hAnsi="Arial"/>
          <w:b w:val="0"/>
          <w:i w:val="0"/>
          <w:color w:val="0B0B14"/>
          <w:sz w:val="21"/>
        </w:rPr>
        <w:t>Reconcile the bank accounts every month (p. 43).</w:t>
      </w:r>
    </w:p>
    <w:p>
      <w:pPr>
        <w:spacing w:before="0" w:after="80" w:line="276" w:lineRule="auto"/>
        <w:ind w:left="432" w:hanging="317"/>
      </w:pPr>
      <w:r>
        <w:rPr>
          <w:color w:val="6E6E82"/>
          <w:sz w:val="22"/>
        </w:rPr>
        <w:t xml:space="preserve">☐  </w:t>
      </w:r>
      <w:r>
        <w:rPr>
          <w:rFonts w:ascii="Arial" w:hAnsi="Arial"/>
          <w:b w:val="0"/>
          <w:i w:val="0"/>
          <w:color w:val="0B0B14"/>
          <w:sz w:val="21"/>
        </w:rPr>
        <w:t>Report at committee meetings, general meetings and the AGM (p. 43).</w:t>
      </w:r>
    </w:p>
    <w:p>
      <w:pPr>
        <w:spacing w:before="0" w:after="80" w:line="276" w:lineRule="auto"/>
        <w:ind w:left="432" w:hanging="317"/>
      </w:pPr>
      <w:r>
        <w:rPr>
          <w:color w:val="6E6E82"/>
          <w:sz w:val="22"/>
        </w:rPr>
        <w:t xml:space="preserve">☐  </w:t>
      </w:r>
      <w:r>
        <w:rPr>
          <w:rFonts w:ascii="Arial" w:hAnsi="Arial"/>
          <w:b w:val="0"/>
          <w:i w:val="0"/>
          <w:color w:val="0B0B14"/>
          <w:sz w:val="21"/>
        </w:rPr>
        <w:t>Know the government concessions and tax requirements that apply to the club, and meet them (p. 43).</w:t>
      </w:r>
    </w:p>
    <w:p>
      <w:pPr>
        <w:keepNext/>
        <w:spacing w:before="240" w:after="80" w:line="276" w:lineRule="auto"/>
      </w:pPr>
      <w:r>
        <w:rPr>
          <w:rFonts w:ascii="Arial" w:hAnsi="Arial"/>
          <w:b/>
          <w:i w:val="0"/>
          <w:color w:val="0B0B14"/>
          <w:sz w:val="28"/>
        </w:rPr>
        <w:t>Our suggestions for the subs</w:t>
      </w:r>
    </w:p>
    <w:p>
      <w:pPr>
        <w:spacing w:before="0" w:after="80" w:line="276" w:lineRule="auto"/>
        <w:ind w:left="432" w:hanging="317"/>
      </w:pPr>
      <w:r>
        <w:rPr>
          <w:color w:val="0B0B14"/>
          <w:sz w:val="21"/>
        </w:rPr>
        <w:t xml:space="preserve">•  </w:t>
      </w:r>
      <w:r>
        <w:rPr>
          <w:rFonts w:ascii="Arial" w:hAnsi="Arial"/>
          <w:b w:val="0"/>
          <w:i w:val="0"/>
          <w:color w:val="0B0B14"/>
          <w:sz w:val="21"/>
        </w:rPr>
        <w:t>Keep one list of financial members, with the date each paid. On AGM day it gives you the capitation count.</w:t>
      </w:r>
    </w:p>
    <w:p>
      <w:pPr>
        <w:spacing w:before="0" w:after="80" w:line="276" w:lineRule="auto"/>
        <w:ind w:left="432" w:hanging="317"/>
      </w:pPr>
      <w:r>
        <w:rPr>
          <w:color w:val="0B0B14"/>
          <w:sz w:val="21"/>
        </w:rPr>
        <w:t xml:space="preserve">•  </w:t>
      </w:r>
      <w:r>
        <w:rPr>
          <w:rFonts w:ascii="Arial" w:hAnsi="Arial"/>
          <w:b w:val="0"/>
          <w:i w:val="0"/>
          <w:color w:val="0B0B14"/>
          <w:sz w:val="21"/>
        </w:rPr>
        <w:t>Ask members paying by bank transfer to use their surname as the reference, so each payment can be matched.</w:t>
      </w:r>
    </w:p>
    <w:p>
      <w:pPr>
        <w:spacing w:before="0" w:after="80" w:line="276" w:lineRule="auto"/>
        <w:ind w:left="432" w:hanging="317"/>
      </w:pPr>
      <w:r>
        <w:rPr>
          <w:color w:val="0B0B14"/>
          <w:sz w:val="21"/>
        </w:rPr>
        <w:t xml:space="preserve">•  </w:t>
      </w:r>
      <w:r>
        <w:rPr>
          <w:rFonts w:ascii="Arial" w:hAnsi="Arial"/>
          <w:b w:val="0"/>
          <w:i w:val="0"/>
          <w:color w:val="0B0B14"/>
          <w:sz w:val="21"/>
        </w:rPr>
        <w:t xml:space="preserve">Members who would rather pay by card can, but the club can no longer add a surcharge. See </w:t>
      </w:r>
      <w:hyperlink r:id="rId11">
        <w:r>
          <w:rPr>
            <w:color w:val="CC2B1C"/>
            <w:u w:val="single"/>
            <w:sz w:val="21"/>
          </w:rPr>
          <w:t xml:space="preserve">card payments after the surcharge ban</w:t>
        </w:r>
      </w:hyperlink>
      <w:r>
        <w:rPr>
          <w:rFonts w:ascii="Arial" w:hAnsi="Arial"/>
          <w:b w:val="0"/>
          <w:i w:val="0"/>
          <w:color w:val="0B0B14"/>
          <w:sz w:val="21"/>
        </w:rPr>
        <w:t>.</w:t>
      </w:r>
    </w:p>
    <w:p>
      <w:pPr>
        <w:spacing w:before="0" w:after="80" w:line="276" w:lineRule="auto"/>
        <w:ind w:left="432" w:hanging="317"/>
      </w:pPr>
      <w:r>
        <w:rPr>
          <w:color w:val="0B0B14"/>
          <w:sz w:val="21"/>
        </w:rPr>
        <w:t xml:space="preserve">•  </w:t>
      </w:r>
      <w:r>
        <w:rPr>
          <w:rFonts w:ascii="Arial" w:hAnsi="Arial"/>
          <w:b w:val="0"/>
          <w:i w:val="0"/>
          <w:color w:val="0B0B14"/>
          <w:sz w:val="21"/>
        </w:rPr>
        <w:t xml:space="preserve">Ready made emails for the subs notice and reminders: </w:t>
      </w:r>
      <w:hyperlink r:id="rId12">
        <w:r>
          <w:rPr>
            <w:color w:val="CC2B1C"/>
            <w:u w:val="single"/>
            <w:sz w:val="21"/>
          </w:rPr>
          <w:t xml:space="preserve">renewal emails for Australian clubs</w:t>
        </w:r>
      </w:hyperlink>
      <w:r>
        <w:rPr>
          <w:rFonts w:ascii="Arial" w:hAnsi="Arial"/>
          <w:b w:val="0"/>
          <w:i w:val="0"/>
          <w:color w:val="0B0B14"/>
          <w:sz w:val="21"/>
        </w:rPr>
        <w:t>.</w:t>
      </w:r>
    </w:p>
    <w:tbl>
      <w:tblPr>
        <w:tblW w:type="auto" w:w="0"/>
        <w:tblLook w:firstColumn="1" w:firstRow="1" w:lastColumn="0" w:lastRow="0" w:noHBand="0" w:noVBand="1" w:val="04A0"/>
      </w:tblPr>
      <w:tblGrid>
        <w:gridCol w:w="9936"/>
      </w:tblGrid>
      <w:tr>
        <w:tc>
          <w:tcPr>
            <w:tcW w:type="dxa" w:w="9936"/>
            <w:shd w:val="clear" w:color="auto" w:fill="F5F5F8"/>
            <w:tcBorders>
              <w:top w:val="single" w:sz="4" w:color="DCDCE6"/>
              <w:left w:val="single" w:sz="24" w:color="00B3A4"/>
              <w:bottom w:val="single" w:sz="4" w:color="DCDCE6"/>
              <w:right w:val="single" w:sz="4" w:color="DCDCE6"/>
            </w:tcBorders>
          </w:tcPr>
          <w:p>
            <w:pPr>
              <w:spacing w:before="60" w:after="60" w:line="276" w:lineRule="auto"/>
            </w:pPr>
            <w:r>
              <w:rPr>
                <w:rFonts w:ascii="Arial" w:hAnsi="Arial"/>
                <w:b w:val="0"/>
                <w:i w:val="0"/>
                <w:color w:val="0B0B14"/>
                <w:sz w:val="19"/>
              </w:rPr>
              <w:t>Your club's constitution and the handbook decide. This checklist was written from the 2026 to 27 handbook, read on 28 Oct 2026; check the current edition each year.</w:t>
            </w:r>
          </w:p>
        </w:tc>
      </w:tr>
    </w:tbl>
    <w:p>
      <w:pPr>
        <w:spacing w:after="40"/>
      </w:pPr>
    </w:p>
    <w:p>
      <w:pPr>
        <w:keepNext/>
        <w:spacing w:before="160" w:after="80" w:line="276" w:lineRule="auto"/>
      </w:pPr>
      <w:r>
        <w:rPr>
          <w:rFonts w:ascii="Arial" w:hAnsi="Arial"/>
          <w:b/>
          <w:i w:val="0"/>
          <w:color w:val="0B0B14"/>
          <w:sz w:val="23"/>
        </w:rPr>
        <w:t>Sources</w:t>
      </w:r>
    </w:p>
    <w:p>
      <w:pPr>
        <w:spacing w:before="0" w:after="60" w:line="276" w:lineRule="auto"/>
      </w:pPr>
      <w:r>
        <w:rPr>
          <w:sz w:val="18"/>
        </w:rPr>
        <w:t xml:space="preserve">Probus Club Handbook 2026 to 27, Probus South Pacific (copy hosted by a member club), read 28 Oct 2026: </w:t>
      </w:r>
      <w:hyperlink r:id="rId13">
        <w:r>
          <w:rPr>
            <w:color w:val="CC2B1C"/>
            <w:u w:val="single"/>
            <w:sz w:val="18"/>
          </w:rPr>
          <w:t xml:space="preserve">https://clubrunner.blob.core.windows.net/00000101591/en-us/files/homepage/probus-club-handbook-2026-2027/2026_27_Probus_Club_Handbook.pdf</w:t>
        </w:r>
      </w:hyperlink>
    </w:p>
    <w:p/>
    <w:tbl>
      <w:tblPr>
        <w:tblW w:type="auto" w:w="0"/>
        <w:jc w:val="center"/>
        <w:tblLook w:firstColumn="1" w:firstRow="1" w:lastColumn="0" w:lastRow="0" w:noHBand="0" w:noVBand="1" w:val="04A0"/>
      </w:tblPr>
      <w:tblGrid>
        <w:gridCol w:w="9936"/>
      </w:tblGrid>
      <w:tr>
        <w:tc>
          <w:tcPr>
            <w:tcW w:type="dxa" w:w="9936"/>
            <w:shd w:val="clear" w:color="auto" w:fill="0B0B14"/>
            <w:tcBorders>
              <w:top w:val="nil"/>
              <w:left w:val="nil"/>
              <w:bottom w:val="nil"/>
              <w:right w:val="nil"/>
            </w:tcBorders>
          </w:tcPr>
          <w:p>
            <w:pPr>
              <w:spacing w:before="80" w:after="40" w:line="276" w:lineRule="auto"/>
            </w:pPr>
            <w:r>
              <w:rPr>
                <w:b/>
                <w:color w:val="FAFAFA"/>
                <w:sz w:val="20"/>
              </w:rPr>
              <w:t xml:space="preserve">Made by renuzy, dues done easy. </w:t>
            </w:r>
            <w:r>
              <w:rPr>
                <w:color w:val="CFCFDD"/>
                <w:sz w:val="20"/>
              </w:rPr>
              <w:t>Looking after dues for a club? See how renuzy can help at renuzy.com.</w:t>
            </w:r>
          </w:p>
          <w:p>
            <w:pPr>
              <w:spacing w:before="0" w:after="80" w:line="276" w:lineRule="auto"/>
            </w:pPr>
            <w:hyperlink r:id="rId14">
              <w:r>
                <w:rPr>
                  <w:color w:val="FF7A6B"/>
                  <w:u w:val="single"/>
                  <w:sz w:val="18"/>
                </w:rPr>
                <w:t xml:space="preserve">https://renuzy.com/resources/probus-club-treasurer-year</w:t>
              </w:r>
            </w:hyperlink>
          </w:p>
        </w:tc>
      </w:tr>
    </w:tbl>
    <w:sectPr w:rsidR="00FC693F" w:rsidRPr="0006063C" w:rsidSect="00034616">
      <w:headerReference w:type="default" r:id="rId9"/>
      <w:footerReference w:type="default" r:id="rId10"/>
      <w:pgSz w:w="12240" w:h="15840"/>
      <w:pgMar w:top="1296" w:right="1152" w:bottom="1152" w:left="1152"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E6E82"/>
        <w:sz w:val="16"/>
      </w:rPr>
      <w:t xml:space="preserve">Made by renuzy, dues done easy.  </w:t>
    </w:r>
    <w:hyperlink r:id="rId1">
      <w:r>
        <w:rPr>
          <w:color w:val="CC2B1C"/>
          <w:u w:val="single"/>
          <w:sz w:val="16"/>
        </w:rPr>
        <w:t xml:space="preserve">renuzy.com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60120" cy="224589"/>
          <wp:docPr id="1" name="Picture 1"/>
          <wp:cNvGraphicFramePr>
            <a:graphicFrameLocks noChangeAspect="1"/>
          </wp:cNvGraphicFramePr>
          <a:graphic>
            <a:graphicData uri="http://schemas.openxmlformats.org/drawingml/2006/picture">
              <pic:pic>
                <pic:nvPicPr>
                  <pic:cNvPr id="0" name="logo-dark.png"/>
                  <pic:cNvPicPr/>
                </pic:nvPicPr>
                <pic:blipFill>
                  <a:blip r:embed="rId1"/>
                  <a:stretch>
                    <a:fillRect/>
                  </a:stretch>
                </pic:blipFill>
                <pic:spPr>
                  <a:xfrm>
                    <a:off x="0" y="0"/>
                    <a:ext cx="960120" cy="22458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0B0B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renuzy.com/resources/card-surcharge-ban-club-subs" TargetMode="External"/><Relationship Id="rId12" Type="http://schemas.openxmlformats.org/officeDocument/2006/relationships/hyperlink" Target="https://renuzy.com/resources/renewal-emails-australia" TargetMode="External"/><Relationship Id="rId13" Type="http://schemas.openxmlformats.org/officeDocument/2006/relationships/hyperlink" Target="https://clubrunner.blob.core.windows.net/00000101591/en-us/files/homepage/probus-club-handbook-2026-2027/2026_27_Probus_Club_Handbook.pdf" TargetMode="External"/><Relationship Id="rId14" Type="http://schemas.openxmlformats.org/officeDocument/2006/relationships/hyperlink" Target="https://renuzy.com/resources/probus-club-treasurer-yea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renuz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Probus club treasurer's year</dc:title>
  <dc:subject/>
  <dc:creator>renuzy</dc:creator>
  <cp:keywords/>
  <dc:description>Made by renuzy, dues done easy. renuzy.com</dc:description>
  <cp:lastModifiedBy/>
  <cp:revision>1</cp:revision>
  <dcterms:created xsi:type="dcterms:W3CDTF">2013-12-23T23:15:00Z</dcterms:created>
  <dcterms:modified xsi:type="dcterms:W3CDTF">2013-12-23T23:15:00Z</dcterms:modified>
  <cp:category/>
</cp:coreProperties>
</file>