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b/>
          <w:color w:val="CC2B1C"/>
          <w:sz w:val="18"/>
        </w:rPr>
        <w:t>Free resource</w:t>
      </w:r>
    </w:p>
    <w:p>
      <w:pPr>
        <w:spacing w:before="0" w:after="80" w:line="240" w:lineRule="auto"/>
      </w:pPr>
      <w:r>
        <w:rPr>
          <w:b/>
          <w:color w:val="0B0B14"/>
          <w:sz w:val="44"/>
        </w:rPr>
        <w:t>Conflict of interest policy sample</w:t>
      </w:r>
    </w:p>
    <w:p>
      <w:pPr>
        <w:spacing w:before="0" w:after="200" w:line="276" w:lineRule="auto"/>
      </w:pPr>
      <w:r>
        <w:rPr>
          <w:rFonts w:ascii="Arial" w:hAnsi="Arial"/>
          <w:b w:val="0"/>
          <w:i w:val="0"/>
          <w:color w:val="4A4A5A"/>
          <w:sz w:val="22"/>
        </w:rPr>
        <w:t>A short sample policy written for small clubs, with a yearly statement for board members to sign.</w:t>
      </w:r>
    </w:p>
    <w:tbl>
      <w:tblPr>
        <w:tblW w:type="auto" w:w="0"/>
        <w:tblLook w:firstColumn="1" w:firstRow="1" w:lastColumn="0" w:lastRow="0" w:noHBand="0" w:noVBand="1" w:val="04A0"/>
      </w:tblPr>
      <w:tblGrid>
        <w:gridCol w:w="9936"/>
      </w:tblGrid>
      <w:tr>
        <w:tc>
          <w:tcPr>
            <w:tcW w:type="dxa" w:w="9936"/>
            <w:shd w:val="clear" w:color="auto" w:fill="F5F5F8"/>
            <w:tcBorders>
              <w:top w:val="single" w:sz="4" w:color="DCDCE6"/>
              <w:left w:val="single" w:sz="24" w:color="00B3A4"/>
              <w:bottom w:val="single" w:sz="4" w:color="DCDCE6"/>
              <w:right w:val="single" w:sz="4" w:color="DCDCE6"/>
            </w:tcBorders>
          </w:tcPr>
          <w:p>
            <w:pPr>
              <w:spacing w:before="60" w:after="60" w:line="276" w:lineRule="auto"/>
            </w:pPr>
            <w:r>
              <w:rPr>
                <w:rFonts w:ascii="Arial" w:hAnsi="Arial"/>
                <w:b w:val="0"/>
                <w:i w:val="0"/>
                <w:color w:val="0B0B14"/>
                <w:sz w:val="19"/>
              </w:rPr>
              <w:t>A sample to adapt, not legal advice. Charities applying for 501(c)(3) status will find the IRS's own sample policy in the instructions for Form 1023. Have your board adopt the final version by vote and record it in the minutes.</w:t>
            </w:r>
          </w:p>
        </w:tc>
      </w:tr>
    </w:tbl>
    <w:p>
      <w:pPr>
        <w:spacing w:after="40"/>
      </w:pPr>
    </w:p>
    <w:p>
      <w:pPr>
        <w:keepNext/>
        <w:spacing w:before="240" w:after="80" w:line="276" w:lineRule="auto"/>
      </w:pPr>
      <w:r>
        <w:rPr>
          <w:rFonts w:ascii="Arial" w:hAnsi="Arial"/>
          <w:b/>
          <w:i w:val="0"/>
          <w:color w:val="0B0B14"/>
          <w:sz w:val="28"/>
        </w:rPr>
        <w:t>The policy</w:t>
      </w:r>
    </w:p>
    <w:tbl>
      <w:tblPr>
        <w:tblW w:type="auto" w:w="0"/>
        <w:tblLook w:firstColumn="1" w:firstRow="1" w:lastColumn="0" w:lastRow="0" w:noHBand="0" w:noVBand="1" w:val="04A0"/>
      </w:tblPr>
      <w:tblGrid>
        <w:gridCol w:w="9936"/>
      </w:tblGrid>
      <w:tr>
        <w:tc>
          <w:tcPr>
            <w:tcW w:type="dxa" w:w="9936"/>
            <w:tcBorders>
              <w:top w:val="single" w:sz="6" w:color="DCDCE6"/>
              <w:left w:val="single" w:sz="6" w:color="DCDCE6"/>
              <w:bottom w:val="single" w:sz="6" w:color="DCDCE6"/>
              <w:right w:val="single" w:sz="6" w:color="DCDCE6"/>
            </w:tcBorders>
          </w:tcPr>
          <w:p>
            <w:pPr>
              <w:spacing w:before="80" w:after="40" w:line="276" w:lineRule="auto"/>
            </w:pPr>
            <w:r>
              <w:rPr>
                <w:b/>
                <w:color w:val="4A4A5A"/>
                <w:sz w:val="17"/>
              </w:rPr>
              <w:t>Sample policy</w:t>
            </w:r>
          </w:p>
          <w:p>
            <w:pPr>
              <w:spacing w:before="0" w:after="120" w:line="276" w:lineRule="auto"/>
            </w:pPr>
            <w:r>
              <w:rPr>
                <w:rFonts w:ascii="Arial" w:hAnsi="Arial"/>
                <w:b/>
                <w:i w:val="0"/>
                <w:color w:val="CC2B1C"/>
                <w:sz w:val="21"/>
              </w:rPr>
              <w:t>[Club name]</w:t>
            </w:r>
            <w:r>
              <w:rPr>
                <w:rFonts w:ascii="Arial" w:hAnsi="Arial"/>
                <w:b/>
                <w:i w:val="0"/>
                <w:color w:val="0B0B14"/>
                <w:sz w:val="21"/>
              </w:rPr>
              <w:t xml:space="preserve"> conflict of interest policy</w:t>
            </w:r>
          </w:p>
          <w:p>
            <w:pPr>
              <w:spacing w:before="0" w:after="120" w:line="276" w:lineRule="auto"/>
            </w:pPr>
            <w:r>
              <w:rPr>
                <w:rFonts w:ascii="Arial" w:hAnsi="Arial"/>
                <w:b/>
                <w:i w:val="0"/>
                <w:color w:val="0B0B14"/>
                <w:sz w:val="21"/>
              </w:rPr>
              <w:t>1. Purpose.</w:t>
            </w:r>
            <w:r>
              <w:rPr>
                <w:rFonts w:ascii="Arial" w:hAnsi="Arial"/>
                <w:b w:val="0"/>
                <w:i w:val="0"/>
                <w:color w:val="0B0B14"/>
                <w:sz w:val="21"/>
              </w:rPr>
              <w:t xml:space="preserve"> This policy helps </w:t>
            </w:r>
            <w:r>
              <w:rPr>
                <w:rFonts w:ascii="Arial" w:hAnsi="Arial"/>
                <w:b/>
                <w:i w:val="0"/>
                <w:color w:val="CC2B1C"/>
                <w:sz w:val="21"/>
              </w:rPr>
              <w:t>[Club name]</w:t>
            </w:r>
            <w:r>
              <w:rPr>
                <w:rFonts w:ascii="Arial" w:hAnsi="Arial"/>
                <w:b w:val="0"/>
                <w:i w:val="0"/>
                <w:color w:val="0B0B14"/>
                <w:sz w:val="21"/>
              </w:rPr>
              <w:t xml:space="preserve"> make decisions in the interest of the club and its members, and not in the private interest of any board member, officer or committee chair.</w:t>
            </w:r>
          </w:p>
          <w:p>
            <w:pPr>
              <w:spacing w:before="0" w:after="120" w:line="276" w:lineRule="auto"/>
            </w:pPr>
            <w:r>
              <w:rPr>
                <w:rFonts w:ascii="Arial" w:hAnsi="Arial"/>
                <w:b/>
                <w:i w:val="0"/>
                <w:color w:val="0B0B14"/>
                <w:sz w:val="21"/>
              </w:rPr>
              <w:t>2. What a conflict is.</w:t>
            </w:r>
            <w:r>
              <w:rPr>
                <w:rFonts w:ascii="Arial" w:hAnsi="Arial"/>
                <w:b w:val="0"/>
                <w:i w:val="0"/>
                <w:color w:val="0B0B14"/>
                <w:sz w:val="21"/>
              </w:rPr>
              <w:t xml:space="preserve"> A conflict of interest exists when a board member, officer or committee chair, or a member of their family or a business they are part of, could gain from a decision the club makes. Examples: the club hiring a board member's business, buying from a relative, or renting a space a board member owns.</w:t>
            </w:r>
          </w:p>
          <w:p>
            <w:pPr>
              <w:spacing w:before="0" w:after="120" w:line="276" w:lineRule="auto"/>
            </w:pPr>
            <w:r>
              <w:rPr>
                <w:rFonts w:ascii="Arial" w:hAnsi="Arial"/>
                <w:b/>
                <w:i w:val="0"/>
                <w:color w:val="0B0B14"/>
                <w:sz w:val="21"/>
              </w:rPr>
              <w:t>3. Telling the board.</w:t>
            </w:r>
            <w:r>
              <w:rPr>
                <w:rFonts w:ascii="Arial" w:hAnsi="Arial"/>
                <w:b w:val="0"/>
                <w:i w:val="0"/>
                <w:color w:val="0B0B14"/>
                <w:sz w:val="21"/>
              </w:rPr>
              <w:t xml:space="preserve"> Anyone covered by this policy who has, or may have, a conflict tells the board as soon as they know of it, and before the board discusses the matter.</w:t>
            </w:r>
          </w:p>
          <w:p>
            <w:pPr>
              <w:spacing w:before="0" w:after="120" w:line="276" w:lineRule="auto"/>
            </w:pPr>
            <w:r>
              <w:rPr>
                <w:rFonts w:ascii="Arial" w:hAnsi="Arial"/>
                <w:b/>
                <w:i w:val="0"/>
                <w:color w:val="0B0B14"/>
                <w:sz w:val="21"/>
              </w:rPr>
              <w:t>4. Deciding.</w:t>
            </w:r>
            <w:r>
              <w:rPr>
                <w:rFonts w:ascii="Arial" w:hAnsi="Arial"/>
                <w:b w:val="0"/>
                <w:i w:val="0"/>
                <w:color w:val="0B0B14"/>
                <w:sz w:val="21"/>
              </w:rPr>
              <w:t xml:space="preserve"> The person with the conflict may answer questions, then leaves the discussion and does not vote. The rest of the board decides whether the arrangement is fair and in the club's interest, by a majority of those without a conflict.</w:t>
            </w:r>
          </w:p>
          <w:p>
            <w:pPr>
              <w:spacing w:before="0" w:after="120" w:line="276" w:lineRule="auto"/>
            </w:pPr>
            <w:r>
              <w:rPr>
                <w:rFonts w:ascii="Arial" w:hAnsi="Arial"/>
                <w:b/>
                <w:i w:val="0"/>
                <w:color w:val="0B0B14"/>
                <w:sz w:val="21"/>
              </w:rPr>
              <w:t>5. Recording.</w:t>
            </w:r>
            <w:r>
              <w:rPr>
                <w:rFonts w:ascii="Arial" w:hAnsi="Arial"/>
                <w:b w:val="0"/>
                <w:i w:val="0"/>
                <w:color w:val="0B0B14"/>
                <w:sz w:val="21"/>
              </w:rPr>
              <w:t xml:space="preserve"> The minutes record the conflict that was disclosed, who left the discussion, the decision, and the vote.</w:t>
            </w:r>
          </w:p>
          <w:p>
            <w:pPr>
              <w:spacing w:before="0" w:after="120" w:line="276" w:lineRule="auto"/>
            </w:pPr>
            <w:r>
              <w:rPr>
                <w:rFonts w:ascii="Arial" w:hAnsi="Arial"/>
                <w:b/>
                <w:i w:val="0"/>
                <w:color w:val="0B0B14"/>
                <w:sz w:val="21"/>
              </w:rPr>
              <w:t>6. Yearly statement.</w:t>
            </w:r>
            <w:r>
              <w:rPr>
                <w:rFonts w:ascii="Arial" w:hAnsi="Arial"/>
                <w:b w:val="0"/>
                <w:i w:val="0"/>
                <w:color w:val="0B0B14"/>
                <w:sz w:val="21"/>
              </w:rPr>
              <w:t xml:space="preserve"> Every board member, officer and committee chair signs the statement below when they take office and once a year after that.</w:t>
            </w:r>
          </w:p>
          <w:p>
            <w:pPr>
              <w:spacing w:before="0" w:after="120" w:line="276" w:lineRule="auto"/>
            </w:pPr>
            <w:r>
              <w:rPr>
                <w:rFonts w:ascii="Arial" w:hAnsi="Arial"/>
                <w:b/>
                <w:i w:val="0"/>
                <w:color w:val="0B0B14"/>
                <w:sz w:val="21"/>
              </w:rPr>
              <w:t>7. Not following the policy.</w:t>
            </w:r>
            <w:r>
              <w:rPr>
                <w:rFonts w:ascii="Arial" w:hAnsi="Arial"/>
                <w:b w:val="0"/>
                <w:i w:val="0"/>
                <w:color w:val="0B0B14"/>
                <w:sz w:val="21"/>
              </w:rPr>
              <w:t xml:space="preserve"> If the board believes someone did not disclose a conflict, it gives them a chance to explain, then decides what to do, which may include removal under the bylaws.</w:t>
            </w:r>
          </w:p>
          <w:p>
            <w:pPr>
              <w:spacing w:before="0" w:after="120" w:line="276" w:lineRule="auto"/>
            </w:pPr>
            <w:r>
              <w:rPr>
                <w:rFonts w:ascii="Arial" w:hAnsi="Arial"/>
                <w:b w:val="0"/>
                <w:i w:val="0"/>
                <w:color w:val="0B0B14"/>
                <w:sz w:val="21"/>
              </w:rPr>
              <w:t xml:space="preserve">Adopted by the board on </w:t>
            </w:r>
            <w:r>
              <w:rPr>
                <w:rFonts w:ascii="Arial" w:hAnsi="Arial"/>
                <w:b/>
                <w:i w:val="0"/>
                <w:color w:val="CC2B1C"/>
                <w:sz w:val="21"/>
              </w:rPr>
              <w:t>[date]</w:t>
            </w:r>
            <w:r>
              <w:rPr>
                <w:rFonts w:ascii="Arial" w:hAnsi="Arial"/>
                <w:b w:val="0"/>
                <w:i w:val="0"/>
                <w:color w:val="0B0B14"/>
                <w:sz w:val="21"/>
              </w:rPr>
              <w:t>.</w:t>
            </w:r>
          </w:p>
        </w:tc>
      </w:tr>
    </w:tbl>
    <w:p>
      <w:pPr>
        <w:spacing w:after="40"/>
      </w:pPr>
    </w:p>
    <w:p>
      <w:pPr>
        <w:keepNext/>
        <w:spacing w:before="240" w:after="80" w:line="276" w:lineRule="auto"/>
      </w:pPr>
      <w:r>
        <w:rPr>
          <w:rFonts w:ascii="Arial" w:hAnsi="Arial"/>
          <w:b/>
          <w:i w:val="0"/>
          <w:color w:val="0B0B14"/>
          <w:sz w:val="28"/>
        </w:rPr>
        <w:t>Yearly statement</w:t>
      </w:r>
    </w:p>
    <w:p>
      <w:pPr>
        <w:spacing w:before="0" w:after="120" w:line="276" w:lineRule="auto"/>
      </w:pPr>
      <w:r>
        <w:rPr>
          <w:rFonts w:ascii="Arial" w:hAnsi="Arial"/>
          <w:b w:val="0"/>
          <w:i w:val="0"/>
          <w:color w:val="0B0B14"/>
          <w:sz w:val="21"/>
        </w:rPr>
        <w:t>I have read the [Club name] conflict of interest policy, I agree to follow it, and I have listed below any interests that could create a conflict.</w:t>
      </w:r>
    </w:p>
    <w:tbl>
      <w:tblPr>
        <w:tblW w:type="auto" w:w="0"/>
        <w:tblLook w:firstColumn="1" w:firstRow="1" w:lastColumn="0" w:lastRow="0" w:noHBand="0" w:noVBand="1" w:val="04A0"/>
      </w:tblPr>
      <w:tblGrid>
        <w:gridCol w:w="4968"/>
        <w:gridCol w:w="4968"/>
      </w:tblGrid>
      <w:tr>
        <w:trPr>
          <w:trHeight w:val="518" w:hRule="atLeast"/>
        </w:trPr>
        <w:tc>
          <w:tcPr>
            <w:tcW w:type="dxa" w:w="3456"/>
            <w:tcBorders>
              <w:top w:val="nil"/>
              <w:left w:val="nil"/>
              <w:bottom w:val="nil"/>
              <w:right w:val="nil"/>
            </w:tcBorders>
          </w:tcPr>
          <w:p>
            <w:pPr>
              <w:spacing w:before="160" w:after="0" w:line="276" w:lineRule="auto"/>
            </w:pPr>
            <w:r>
              <w:rPr>
                <w:rFonts w:ascii="Arial" w:hAnsi="Arial"/>
                <w:b/>
                <w:i w:val="0"/>
                <w:color w:val="4A4A5A"/>
                <w:sz w:val="18"/>
              </w:rPr>
              <w:t>Interests that could create a conflict (or "none")</w:t>
            </w:r>
          </w:p>
        </w:tc>
        <w:tc>
          <w:tcPr>
            <w:tcW w:type="dxa" w:w="6480"/>
            <w:tcBorders>
              <w:top w:val="nil"/>
              <w:left w:val="nil"/>
              <w:bottom w:val="single" w:sz="6" w:color="8A8A9C"/>
              <w:right w:val="nil"/>
            </w:tcBorders>
          </w:tcPr>
          <w:p/>
        </w:tc>
      </w:tr>
      <w:tr>
        <w:trPr>
          <w:trHeight w:val="518" w:hRule="atLeast"/>
        </w:trPr>
        <w:tc>
          <w:tcPr>
            <w:tcW w:type="dxa" w:w="3456"/>
            <w:tcBorders>
              <w:top w:val="nil"/>
              <w:left w:val="nil"/>
              <w:bottom w:val="nil"/>
              <w:right w:val="nil"/>
            </w:tcBorders>
          </w:tcPr>
          <w:p>
            <w:pPr>
              <w:spacing w:before="160" w:after="0" w:line="276" w:lineRule="auto"/>
            </w:pPr>
            <w:r>
              <w:rPr>
                <w:rFonts w:ascii="Arial" w:hAnsi="Arial"/>
                <w:b/>
                <w:i w:val="0"/>
                <w:color w:val="4A4A5A"/>
                <w:sz w:val="18"/>
              </w:rPr>
              <w:t>Name</w:t>
            </w:r>
          </w:p>
        </w:tc>
        <w:tc>
          <w:tcPr>
            <w:tcW w:type="dxa" w:w="6480"/>
            <w:tcBorders>
              <w:top w:val="nil"/>
              <w:left w:val="nil"/>
              <w:bottom w:val="single" w:sz="6" w:color="8A8A9C"/>
              <w:right w:val="nil"/>
            </w:tcBorders>
          </w:tcPr>
          <w:p/>
        </w:tc>
      </w:tr>
      <w:tr>
        <w:trPr>
          <w:trHeight w:val="518" w:hRule="atLeast"/>
        </w:trPr>
        <w:tc>
          <w:tcPr>
            <w:tcW w:type="dxa" w:w="3456"/>
            <w:tcBorders>
              <w:top w:val="nil"/>
              <w:left w:val="nil"/>
              <w:bottom w:val="nil"/>
              <w:right w:val="nil"/>
            </w:tcBorders>
          </w:tcPr>
          <w:p>
            <w:pPr>
              <w:spacing w:before="160" w:after="0" w:line="276" w:lineRule="auto"/>
            </w:pPr>
            <w:r>
              <w:rPr>
                <w:rFonts w:ascii="Arial" w:hAnsi="Arial"/>
                <w:b/>
                <w:i w:val="0"/>
                <w:color w:val="4A4A5A"/>
                <w:sz w:val="18"/>
              </w:rPr>
              <w:t>Role</w:t>
            </w:r>
          </w:p>
        </w:tc>
        <w:tc>
          <w:tcPr>
            <w:tcW w:type="dxa" w:w="6480"/>
            <w:tcBorders>
              <w:top w:val="nil"/>
              <w:left w:val="nil"/>
              <w:bottom w:val="single" w:sz="6" w:color="8A8A9C"/>
              <w:right w:val="nil"/>
            </w:tcBorders>
          </w:tcPr>
          <w:p/>
        </w:tc>
      </w:tr>
      <w:tr>
        <w:trPr>
          <w:trHeight w:val="518" w:hRule="atLeast"/>
        </w:trPr>
        <w:tc>
          <w:tcPr>
            <w:tcW w:type="dxa" w:w="3456"/>
            <w:tcBorders>
              <w:top w:val="nil"/>
              <w:left w:val="nil"/>
              <w:bottom w:val="nil"/>
              <w:right w:val="nil"/>
            </w:tcBorders>
          </w:tcPr>
          <w:p>
            <w:pPr>
              <w:spacing w:before="160" w:after="0" w:line="276" w:lineRule="auto"/>
            </w:pPr>
            <w:r>
              <w:rPr>
                <w:rFonts w:ascii="Arial" w:hAnsi="Arial"/>
                <w:b/>
                <w:i w:val="0"/>
                <w:color w:val="4A4A5A"/>
                <w:sz w:val="18"/>
              </w:rPr>
              <w:t>Signature</w:t>
            </w:r>
          </w:p>
        </w:tc>
        <w:tc>
          <w:tcPr>
            <w:tcW w:type="dxa" w:w="6480"/>
            <w:tcBorders>
              <w:top w:val="nil"/>
              <w:left w:val="nil"/>
              <w:bottom w:val="single" w:sz="6" w:color="8A8A9C"/>
              <w:right w:val="nil"/>
            </w:tcBorders>
          </w:tcPr>
          <w:p/>
        </w:tc>
      </w:tr>
      <w:tr>
        <w:trPr>
          <w:trHeight w:val="518" w:hRule="atLeast"/>
        </w:trPr>
        <w:tc>
          <w:tcPr>
            <w:tcW w:type="dxa" w:w="3456"/>
            <w:tcBorders>
              <w:top w:val="nil"/>
              <w:left w:val="nil"/>
              <w:bottom w:val="nil"/>
              <w:right w:val="nil"/>
            </w:tcBorders>
          </w:tcPr>
          <w:p>
            <w:pPr>
              <w:spacing w:before="160" w:after="0" w:line="276" w:lineRule="auto"/>
            </w:pPr>
            <w:r>
              <w:rPr>
                <w:rFonts w:ascii="Arial" w:hAnsi="Arial"/>
                <w:b/>
                <w:i w:val="0"/>
                <w:color w:val="4A4A5A"/>
                <w:sz w:val="18"/>
              </w:rPr>
              <w:t>Date</w:t>
            </w:r>
          </w:p>
        </w:tc>
        <w:tc>
          <w:tcPr>
            <w:tcW w:type="dxa" w:w="6480"/>
            <w:tcBorders>
              <w:top w:val="nil"/>
              <w:left w:val="nil"/>
              <w:bottom w:val="single" w:sz="6" w:color="8A8A9C"/>
              <w:right w:val="nil"/>
            </w:tcBorders>
          </w:tcPr>
          <w:p/>
        </w:tc>
      </w:tr>
    </w:tbl>
    <w:p>
      <w:pPr>
        <w:spacing w:after="40"/>
      </w:pPr>
    </w:p>
    <w:p>
      <w:pPr>
        <w:keepNext/>
        <w:spacing w:before="160" w:after="80" w:line="276" w:lineRule="auto"/>
      </w:pPr>
      <w:r>
        <w:rPr>
          <w:rFonts w:ascii="Arial" w:hAnsi="Arial"/>
          <w:b/>
          <w:i w:val="0"/>
          <w:color w:val="0B0B14"/>
          <w:sz w:val="23"/>
        </w:rPr>
        <w:t>Sources</w:t>
      </w:r>
    </w:p>
    <w:p>
      <w:pPr>
        <w:spacing w:before="0" w:after="60" w:line="276" w:lineRule="auto"/>
      </w:pPr>
      <w:r>
        <w:rPr>
          <w:sz w:val="18"/>
        </w:rPr>
        <w:t xml:space="preserve">IRS instructions for Form 1023, which include a sample conflict of interest policy: </w:t>
      </w:r>
      <w:hyperlink r:id="rId11">
        <w:r>
          <w:rPr>
            <w:color w:val="CC2B1C"/>
            <w:u w:val="single"/>
            <w:sz w:val="18"/>
          </w:rPr>
          <w:t xml:space="preserve">https://www.irs.gov/pub/irs-pdf/i1023.pdf</w:t>
        </w:r>
      </w:hyperlink>
    </w:p>
    <w:p/>
    <w:tbl>
      <w:tblPr>
        <w:tblW w:type="auto" w:w="0"/>
        <w:jc w:val="center"/>
        <w:tblLook w:firstColumn="1" w:firstRow="1" w:lastColumn="0" w:lastRow="0" w:noHBand="0" w:noVBand="1" w:val="04A0"/>
      </w:tblPr>
      <w:tblGrid>
        <w:gridCol w:w="9936"/>
      </w:tblGrid>
      <w:tr>
        <w:tc>
          <w:tcPr>
            <w:tcW w:type="dxa" w:w="9936"/>
            <w:shd w:val="clear" w:color="auto" w:fill="0B0B14"/>
            <w:tcBorders>
              <w:top w:val="nil"/>
              <w:left w:val="nil"/>
              <w:bottom w:val="nil"/>
              <w:right w:val="nil"/>
            </w:tcBorders>
          </w:tcPr>
          <w:p>
            <w:pPr>
              <w:spacing w:before="80" w:after="40" w:line="276" w:lineRule="auto"/>
            </w:pPr>
            <w:r>
              <w:rPr>
                <w:b/>
                <w:color w:val="FAFAFA"/>
                <w:sz w:val="20"/>
              </w:rPr>
              <w:t xml:space="preserve">Made by renuzy, dues done easy. </w:t>
            </w:r>
            <w:r>
              <w:rPr>
                <w:color w:val="CFCFDD"/>
                <w:sz w:val="20"/>
              </w:rPr>
              <w:t>Looking after dues for a club? See how renuzy can help at renuzy.com.</w:t>
            </w:r>
          </w:p>
          <w:p>
            <w:pPr>
              <w:spacing w:before="0" w:after="80" w:line="276" w:lineRule="auto"/>
            </w:pPr>
            <w:hyperlink r:id="rId12">
              <w:r>
                <w:rPr>
                  <w:color w:val="FF7A6B"/>
                  <w:u w:val="single"/>
                  <w:sz w:val="18"/>
                </w:rPr>
                <w:t xml:space="preserve">https://renuzy.com/resources/conflict-of-interest-policy</w:t>
              </w:r>
            </w:hyperlink>
          </w:p>
        </w:tc>
      </w:tr>
    </w:tbl>
    <w:sectPr w:rsidR="00FC693F" w:rsidRPr="0006063C" w:rsidSect="00034616">
      <w:headerReference w:type="default" r:id="rId9"/>
      <w:footerReference w:type="default" r:id="rId10"/>
      <w:pgSz w:w="12240" w:h="15840"/>
      <w:pgMar w:top="1296" w:right="1152" w:bottom="1152" w:left="1152"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olor w:val="6E6E82"/>
        <w:sz w:val="16"/>
      </w:rPr>
      <w:t xml:space="preserve">Made by renuzy, dues done easy.  </w:t>
    </w:r>
    <w:hyperlink r:id="rId1">
      <w:r>
        <w:rPr>
          <w:color w:val="CC2B1C"/>
          <w:u w:val="single"/>
          <w:sz w:val="16"/>
        </w:rPr>
        <w:t xml:space="preserve">renuzy.com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960120" cy="224589"/>
          <wp:docPr id="1" name="Picture 1"/>
          <wp:cNvGraphicFramePr>
            <a:graphicFrameLocks noChangeAspect="1"/>
          </wp:cNvGraphicFramePr>
          <a:graphic>
            <a:graphicData uri="http://schemas.openxmlformats.org/drawingml/2006/picture">
              <pic:pic>
                <pic:nvPicPr>
                  <pic:cNvPr id="0" name="logo-dark.png"/>
                  <pic:cNvPicPr/>
                </pic:nvPicPr>
                <pic:blipFill>
                  <a:blip r:embed="rId1"/>
                  <a:stretch>
                    <a:fillRect/>
                  </a:stretch>
                </pic:blipFill>
                <pic:spPr>
                  <a:xfrm>
                    <a:off x="0" y="0"/>
                    <a:ext cx="960120" cy="224589"/>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0B0B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rs.gov/pub/irs-pdf/i1023.pdf" TargetMode="External"/><Relationship Id="rId12" Type="http://schemas.openxmlformats.org/officeDocument/2006/relationships/hyperlink" Target="https://renuzy.com/resources/conflict-of-interest-polic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renuz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Conflict of interest policy sample</dc:title>
  <dc:subject/>
  <dc:creator>renuzy</dc:creator>
  <cp:keywords/>
  <dc:description>Made by renuzy, dues done easy. renuzy.com</dc:description>
  <cp:lastModifiedBy/>
  <cp:revision>1</cp:revision>
  <dcterms:created xsi:type="dcterms:W3CDTF">2013-12-23T23:15:00Z</dcterms:created>
  <dcterms:modified xsi:type="dcterms:W3CDTF">2013-12-23T23:15:00Z</dcterms:modified>
  <cp:category/>
</cp:coreProperties>
</file>